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7E14" w14:textId="77777777" w:rsidR="007A1D29" w:rsidRPr="007A1D29" w:rsidRDefault="007A1D29" w:rsidP="007A1D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Britannic Bold" w:eastAsia="Times New Roman" w:hAnsi="Britannic Bold" w:cs="Open Sans"/>
          <w:b/>
          <w:bCs/>
          <w:color w:val="800000"/>
          <w:sz w:val="52"/>
          <w:szCs w:val="52"/>
          <w:lang w:eastAsia="es-MX"/>
        </w:rPr>
        <w:t>ACCESO A LA INFORMACIÓN</w:t>
      </w:r>
    </w:p>
    <w:p w14:paraId="654789C0" w14:textId="77777777" w:rsidR="007A1D29" w:rsidRPr="007A1D29" w:rsidRDefault="007A1D29" w:rsidP="007A1D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047C6558" w14:textId="77777777" w:rsidR="007A1D29" w:rsidRPr="007A1D29" w:rsidRDefault="007A1D29" w:rsidP="007A1D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ARTÍCULO 36</w:t>
      </w:r>
    </w:p>
    <w:p w14:paraId="3348853C" w14:textId="30A74963" w:rsidR="007A1D29" w:rsidRPr="007A1D29" w:rsidRDefault="007A1D29" w:rsidP="007A1D2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I (a).-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Plan de Desarrollo Integral   </w:t>
      </w:r>
      <w:r w:rsidRPr="007A1D29">
        <w:rPr>
          <w:rFonts w:ascii="Arial" w:eastAsia="Times New Roman" w:hAnsi="Arial" w:cs="Arial"/>
          <w:noProof/>
          <w:color w:val="0000CC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0F64B6AC" wp14:editId="7B84CC87">
            <wp:extent cx="400050" cy="400050"/>
            <wp:effectExtent l="0" t="0" r="0" b="0"/>
            <wp:docPr id="29" name="Imagen 29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D29">
        <w:rPr>
          <w:rFonts w:ascii="Open Sans" w:eastAsia="Times New Roman" w:hAnsi="Open Sans" w:cs="Open Sans"/>
          <w:color w:val="404040"/>
          <w:sz w:val="18"/>
          <w:szCs w:val="18"/>
          <w:lang w:eastAsia="es-MX"/>
        </w:rPr>
        <w:t> </w:t>
      </w:r>
    </w:p>
    <w:p w14:paraId="002C2558" w14:textId="776D89D5" w:rsidR="007A1D29" w:rsidRPr="007A1D29" w:rsidRDefault="007A1D29" w:rsidP="007A1D2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I (a).-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Hipervínculo al plan de Desarrollo Integral </w:t>
      </w:r>
      <w:r w:rsidRPr="007A1D29">
        <w:rPr>
          <w:rFonts w:ascii="Arial" w:eastAsia="Times New Roman" w:hAnsi="Arial" w:cs="Arial"/>
          <w:noProof/>
          <w:color w:val="0000CC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25C08B99" wp14:editId="3F63EC50">
            <wp:extent cx="400050" cy="400050"/>
            <wp:effectExtent l="0" t="0" r="0" b="0"/>
            <wp:docPr id="28" name="Imagen 2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14C94" w14:textId="4A1E0664" w:rsidR="007A1D29" w:rsidRPr="007A1D29" w:rsidRDefault="007A1D29" w:rsidP="007A1D2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I (b).-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El presupuesto de Egresos </w:t>
      </w:r>
      <w:r w:rsidRPr="007A1D29">
        <w:rPr>
          <w:rFonts w:ascii="Arial" w:eastAsia="Times New Roman" w:hAnsi="Arial" w:cs="Arial"/>
          <w:noProof/>
          <w:color w:val="0000CC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66B83F60" wp14:editId="75F4C45C">
            <wp:extent cx="400050" cy="400050"/>
            <wp:effectExtent l="0" t="0" r="0" b="0"/>
            <wp:docPr id="27" name="Imagen 2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398AB" w14:textId="3388446E" w:rsidR="007A1D29" w:rsidRPr="007A1D29" w:rsidRDefault="007A1D29" w:rsidP="007A1D2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I (b).-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Egresos y formulas de distribución de los recursos </w:t>
      </w:r>
      <w:r w:rsidRPr="007A1D29">
        <w:rPr>
          <w:rFonts w:ascii="Arial" w:eastAsia="Times New Roman" w:hAnsi="Arial" w:cs="Arial"/>
          <w:noProof/>
          <w:color w:val="0000CC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45643B10" wp14:editId="3EA74ED6">
            <wp:extent cx="400050" cy="400050"/>
            <wp:effectExtent l="0" t="0" r="0" b="0"/>
            <wp:docPr id="26" name="Imagen 2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4A43F" w14:textId="4DD96905" w:rsidR="007A1D29" w:rsidRPr="007A1D29" w:rsidRDefault="007A1D29" w:rsidP="007A1D2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I (c).-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Expropiaciones realizadas. </w:t>
      </w:r>
      <w:r w:rsidRPr="007A1D29">
        <w:rPr>
          <w:rFonts w:ascii="Arial" w:eastAsia="Times New Roman" w:hAnsi="Arial" w:cs="Arial"/>
          <w:noProof/>
          <w:color w:val="0000CC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313AB1F3" wp14:editId="79B27257">
            <wp:extent cx="400050" cy="400050"/>
            <wp:effectExtent l="0" t="0" r="0" b="0"/>
            <wp:docPr id="25" name="Imagen 2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DF3B5" w14:textId="684F49EC" w:rsidR="007A1D29" w:rsidRPr="007A1D29" w:rsidRDefault="007A1D29" w:rsidP="007A1D2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I (c).-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Hipervínculo al listado de expropiaciones </w:t>
      </w:r>
      <w:r w:rsidRPr="007A1D29">
        <w:rPr>
          <w:rFonts w:ascii="Arial" w:eastAsia="Times New Roman" w:hAnsi="Arial" w:cs="Arial"/>
          <w:noProof/>
          <w:color w:val="0000CC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33C988A7" wp14:editId="5A4370E8">
            <wp:extent cx="400050" cy="400050"/>
            <wp:effectExtent l="0" t="0" r="0" b="0"/>
            <wp:docPr id="24" name="Imagen 2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B3308" w14:textId="08F8A71B" w:rsidR="007A1D29" w:rsidRPr="007A1D29" w:rsidRDefault="007A1D29" w:rsidP="007A1D2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I (c).-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Estadísticas sobre exenciones </w:t>
      </w:r>
      <w:r w:rsidRPr="007A1D29">
        <w:rPr>
          <w:rFonts w:ascii="Arial" w:eastAsia="Times New Roman" w:hAnsi="Arial" w:cs="Arial"/>
          <w:noProof/>
          <w:color w:val="0000CC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558C2C2F" wp14:editId="09CFEE61">
            <wp:extent cx="400050" cy="400050"/>
            <wp:effectExtent l="0" t="0" r="0" b="0"/>
            <wp:docPr id="23" name="Imagen 2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1904C" w14:textId="11457EDF" w:rsidR="007A1D29" w:rsidRPr="007A1D29" w:rsidRDefault="007A1D29" w:rsidP="007A1D2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I (d).-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Cancelación o condonación de crédito fiscal </w:t>
      </w:r>
      <w:r w:rsidRPr="007A1D29">
        <w:rPr>
          <w:rFonts w:ascii="Arial" w:eastAsia="Times New Roman" w:hAnsi="Arial" w:cs="Arial"/>
          <w:noProof/>
          <w:color w:val="0000CC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7D87E5C8" wp14:editId="1DE5BB0C">
            <wp:extent cx="400050" cy="400050"/>
            <wp:effectExtent l="0" t="0" r="0" b="0"/>
            <wp:docPr id="22" name="Imagen 2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99E01" w14:textId="5B010812" w:rsidR="007A1D29" w:rsidRPr="007A1D29" w:rsidRDefault="007A1D29" w:rsidP="007A1D2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I (d).-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Hipervínculo a las cancelaciones y condonaciones de créditos fiscales </w:t>
      </w:r>
      <w:r w:rsidRPr="007A1D29">
        <w:rPr>
          <w:rFonts w:ascii="Arial" w:eastAsia="Times New Roman" w:hAnsi="Arial" w:cs="Arial"/>
          <w:noProof/>
          <w:color w:val="0000CC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61871A46" wp14:editId="79F58520">
            <wp:extent cx="400050" cy="400050"/>
            <wp:effectExtent l="0" t="0" r="0" b="0"/>
            <wp:docPr id="21" name="Imagen 2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F89DE" w14:textId="3D2FA077" w:rsidR="007A1D29" w:rsidRPr="007A1D29" w:rsidRDefault="007A1D29" w:rsidP="007A1D2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I (e).-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Corredores y notarios </w:t>
      </w:r>
      <w:r w:rsidRPr="007A1D29">
        <w:rPr>
          <w:rFonts w:ascii="Arial" w:eastAsia="Times New Roman" w:hAnsi="Arial" w:cs="Arial"/>
          <w:noProof/>
          <w:color w:val="0000CC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1707C992" wp14:editId="5FC25479">
            <wp:extent cx="400050" cy="400050"/>
            <wp:effectExtent l="0" t="0" r="0" b="0"/>
            <wp:docPr id="20" name="Imagen 2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8ED15" w14:textId="126EC538" w:rsidR="007A1D29" w:rsidRPr="007A1D29" w:rsidRDefault="007A1D29" w:rsidP="007A1D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I (e).-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Sanciones a Corredores y Notarios Públicos </w:t>
      </w:r>
      <w:r w:rsidRPr="007A1D29">
        <w:rPr>
          <w:rFonts w:ascii="Open Sans" w:eastAsia="Times New Roman" w:hAnsi="Open Sans" w:cs="Open Sans"/>
          <w:noProof/>
          <w:color w:val="0084EA"/>
          <w:sz w:val="23"/>
          <w:szCs w:val="23"/>
          <w:lang w:eastAsia="es-MX"/>
        </w:rPr>
        <w:drawing>
          <wp:inline distT="0" distB="0" distL="0" distR="0" wp14:anchorId="20CCAD39" wp14:editId="68760370">
            <wp:extent cx="400050" cy="400050"/>
            <wp:effectExtent l="0" t="0" r="0" b="0"/>
            <wp:docPr id="19" name="Imagen 19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BF388" w14:textId="5B071AC0" w:rsidR="007A1D29" w:rsidRPr="007A1D29" w:rsidRDefault="007A1D29" w:rsidP="007A1D2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lastRenderedPageBreak/>
        <w:t>Fracción I (e).-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Hipervínculo a la información de corredores y notarios </w:t>
      </w:r>
      <w:r w:rsidRPr="007A1D29">
        <w:rPr>
          <w:rFonts w:ascii="Arial" w:eastAsia="Times New Roman" w:hAnsi="Arial" w:cs="Arial"/>
          <w:noProof/>
          <w:color w:val="0000CC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671E2C9C" wp14:editId="56A03466">
            <wp:extent cx="400050" cy="400050"/>
            <wp:effectExtent l="0" t="0" r="0" b="0"/>
            <wp:docPr id="18" name="Imagen 18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A6505" w14:textId="063184A0" w:rsidR="007A1D29" w:rsidRPr="007A1D29" w:rsidRDefault="007A1D29" w:rsidP="007A1D2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I (f1).-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Tipo de uso de suelo </w:t>
      </w:r>
      <w:r w:rsidRPr="007A1D29">
        <w:rPr>
          <w:rFonts w:ascii="Arial" w:eastAsia="Times New Roman" w:hAnsi="Arial" w:cs="Arial"/>
          <w:b/>
          <w:bCs/>
          <w:noProof/>
          <w:color w:val="0000CC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0BA252C3" wp14:editId="4EE01925">
            <wp:extent cx="400050" cy="400050"/>
            <wp:effectExtent l="0" t="0" r="0" b="0"/>
            <wp:docPr id="17" name="Imagen 1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26F00" w14:textId="5B49698A" w:rsidR="007A1D29" w:rsidRPr="007A1D29" w:rsidRDefault="007A1D29" w:rsidP="007A1D2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I (f2).-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Licencias de uso de Suelo </w:t>
      </w:r>
      <w:r w:rsidRPr="007A1D29">
        <w:rPr>
          <w:rFonts w:ascii="Arial" w:eastAsia="Times New Roman" w:hAnsi="Arial" w:cs="Arial"/>
          <w:b/>
          <w:bCs/>
          <w:noProof/>
          <w:color w:val="0000CC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6D4DC081" wp14:editId="12E7A248">
            <wp:extent cx="400050" cy="400050"/>
            <wp:effectExtent l="0" t="0" r="0" b="0"/>
            <wp:docPr id="16" name="Imagen 16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901FC" w14:textId="4F379290" w:rsidR="007A1D29" w:rsidRPr="007A1D29" w:rsidRDefault="007A1D29" w:rsidP="007A1D2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I (f3).- 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Licencias de construcción</w:t>
      </w: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 </w:t>
      </w:r>
      <w:r w:rsidRPr="007A1D29">
        <w:rPr>
          <w:rFonts w:ascii="Arial" w:eastAsia="Times New Roman" w:hAnsi="Arial" w:cs="Arial"/>
          <w:b/>
          <w:bCs/>
          <w:noProof/>
          <w:color w:val="0000CC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5ADF0182" wp14:editId="4C72125F">
            <wp:extent cx="400050" cy="400050"/>
            <wp:effectExtent l="0" t="0" r="0" b="0"/>
            <wp:docPr id="15" name="Imagen 15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DCFC1" w14:textId="40206194" w:rsidR="007A1D29" w:rsidRPr="007A1D29" w:rsidRDefault="007A1D29" w:rsidP="007A1D2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I (f4).-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Planes de Desarrollo Urbano</w:t>
      </w:r>
      <w:r w:rsidRPr="007A1D29">
        <w:rPr>
          <w:rFonts w:ascii="Arial" w:eastAsia="Times New Roman" w:hAnsi="Arial" w:cs="Arial"/>
          <w:noProof/>
          <w:color w:val="0000CC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3849C0C1" wp14:editId="50F41D99">
            <wp:extent cx="400050" cy="400050"/>
            <wp:effectExtent l="0" t="0" r="0" b="0"/>
            <wp:docPr id="14" name="Imagen 14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D29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     </w:t>
      </w:r>
    </w:p>
    <w:p w14:paraId="6D27E339" w14:textId="29910EAD" w:rsidR="007A1D29" w:rsidRPr="007A1D29" w:rsidRDefault="007A1D29" w:rsidP="007A1D2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I (f5).-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Planes y Programas de ordenamiento territorial </w:t>
      </w:r>
      <w:r w:rsidRPr="007A1D29">
        <w:rPr>
          <w:rFonts w:ascii="Arial" w:eastAsia="Times New Roman" w:hAnsi="Arial" w:cs="Arial"/>
          <w:noProof/>
          <w:color w:val="0000CC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00746E81" wp14:editId="3270B9B4">
            <wp:extent cx="400050" cy="400050"/>
            <wp:effectExtent l="0" t="0" r="0" b="0"/>
            <wp:docPr id="13" name="Imagen 13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4EB48" w14:textId="13580DAB" w:rsidR="007A1D29" w:rsidRPr="007A1D29" w:rsidRDefault="007A1D29" w:rsidP="007A1D2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I (f6).-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Planes y Programas de ordenamiento ecológico </w:t>
      </w:r>
      <w:r w:rsidRPr="007A1D29">
        <w:rPr>
          <w:rFonts w:ascii="Arial" w:eastAsia="Times New Roman" w:hAnsi="Arial" w:cs="Arial"/>
          <w:noProof/>
          <w:color w:val="0000CC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0DBFFBCB" wp14:editId="22B1A01C">
            <wp:extent cx="400050" cy="400050"/>
            <wp:effectExtent l="0" t="0" r="0" b="0"/>
            <wp:docPr id="12" name="Imagen 12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30073" w14:textId="196A6136" w:rsidR="007A1D29" w:rsidRPr="007A1D29" w:rsidRDefault="007A1D29" w:rsidP="007A1D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I (f7).-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Hipervínculo a los planes de desarrollo urbano </w:t>
      </w:r>
      <w:r w:rsidRPr="007A1D29">
        <w:rPr>
          <w:rFonts w:ascii="Open Sans" w:eastAsia="Times New Roman" w:hAnsi="Open Sans" w:cs="Open Sans"/>
          <w:noProof/>
          <w:color w:val="0084EA"/>
          <w:sz w:val="23"/>
          <w:szCs w:val="23"/>
          <w:lang w:eastAsia="es-MX"/>
        </w:rPr>
        <w:drawing>
          <wp:inline distT="0" distB="0" distL="0" distR="0" wp14:anchorId="192B65AE" wp14:editId="1C4836C8">
            <wp:extent cx="400050" cy="400050"/>
            <wp:effectExtent l="0" t="0" r="0" b="0"/>
            <wp:docPr id="11" name="Imagen 1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506B4" w14:textId="25D37182" w:rsidR="007A1D29" w:rsidRPr="007A1D29" w:rsidRDefault="007A1D29" w:rsidP="007A1D2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I (g).-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Disposiciones administrativas </w:t>
      </w:r>
      <w:r w:rsidRPr="007A1D29">
        <w:rPr>
          <w:rFonts w:ascii="Arial" w:eastAsia="Times New Roman" w:hAnsi="Arial" w:cs="Arial"/>
          <w:noProof/>
          <w:color w:val="0000CC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30E87567" wp14:editId="786A6C8E">
            <wp:extent cx="400050" cy="400050"/>
            <wp:effectExtent l="0" t="0" r="0" b="0"/>
            <wp:docPr id="10" name="Imagen 10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F19CF" w14:textId="0FA47141" w:rsidR="007A1D29" w:rsidRPr="007A1D29" w:rsidRDefault="007A1D29" w:rsidP="007A1D2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I (h).-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Origen y aplicación de recursos de cada una de sus dependencias y entidades </w:t>
      </w:r>
      <w:r w:rsidRPr="007A1D29">
        <w:rPr>
          <w:rFonts w:ascii="Arial" w:eastAsia="Times New Roman" w:hAnsi="Arial" w:cs="Arial"/>
          <w:noProof/>
          <w:color w:val="0000CC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60ECC08D" wp14:editId="7480E37F">
            <wp:extent cx="400050" cy="400050"/>
            <wp:effectExtent l="0" t="0" r="0" b="0"/>
            <wp:docPr id="9" name="Imagen 9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DDBC2" w14:textId="2481CFF2" w:rsidR="007A1D29" w:rsidRPr="007A1D29" w:rsidRDefault="007A1D29" w:rsidP="007A1D2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I (i).-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La glosa del informe que presenta al congreso </w:t>
      </w:r>
      <w:r w:rsidRPr="007A1D29">
        <w:rPr>
          <w:rFonts w:ascii="Arial" w:eastAsia="Times New Roman" w:hAnsi="Arial" w:cs="Arial"/>
          <w:noProof/>
          <w:color w:val="0000CC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75A3D865" wp14:editId="73C3402C">
            <wp:extent cx="400050" cy="400050"/>
            <wp:effectExtent l="0" t="0" r="0" b="0"/>
            <wp:docPr id="8" name="Imagen 8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49F34" w14:textId="2AB7CEBF" w:rsidR="007A1D29" w:rsidRPr="007A1D29" w:rsidRDefault="007A1D29" w:rsidP="007A1D2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I (j).-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Las transferencias presupuestales autorizadas por el gobernador del Estado </w:t>
      </w:r>
      <w:r w:rsidRPr="007A1D29">
        <w:rPr>
          <w:rFonts w:ascii="Arial" w:eastAsia="Times New Roman" w:hAnsi="Arial" w:cs="Arial"/>
          <w:noProof/>
          <w:color w:val="0000CC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29B183E4" wp14:editId="61E86000">
            <wp:extent cx="400050" cy="400050"/>
            <wp:effectExtent l="0" t="0" r="0" b="0"/>
            <wp:docPr id="7" name="Imagen 7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C8626" w14:textId="6D78BD62" w:rsidR="007A1D29" w:rsidRPr="007A1D29" w:rsidRDefault="007A1D29" w:rsidP="007A1D2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lastRenderedPageBreak/>
        <w:t>Fracción I (k).-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El presupuesto de egreso y las fórmulas de distribución de los recursos entregados </w:t>
      </w:r>
      <w:r w:rsidRPr="007A1D29">
        <w:rPr>
          <w:rFonts w:ascii="Arial" w:eastAsia="Times New Roman" w:hAnsi="Arial" w:cs="Arial"/>
          <w:noProof/>
          <w:color w:val="0000CC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1A1D9C92" wp14:editId="27BBDF78">
            <wp:extent cx="400050" cy="400050"/>
            <wp:effectExtent l="0" t="0" r="0" b="0"/>
            <wp:docPr id="6" name="Imagen 6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34E2D" w14:textId="0E96E6CD" w:rsidR="007A1D29" w:rsidRPr="007A1D29" w:rsidRDefault="007A1D29" w:rsidP="007A1D2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I (l).-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Los montos de endeudamiento </w:t>
      </w:r>
      <w:r w:rsidRPr="007A1D29">
        <w:rPr>
          <w:rFonts w:ascii="Arial" w:eastAsia="Times New Roman" w:hAnsi="Arial" w:cs="Arial"/>
          <w:noProof/>
          <w:color w:val="0000CC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7D0C3F3D" wp14:editId="0FBE3228">
            <wp:extent cx="400050" cy="400050"/>
            <wp:effectExtent l="0" t="0" r="0" b="0"/>
            <wp:docPr id="5" name="Imagen 5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ADD41" w14:textId="77777777" w:rsidR="007A1D29" w:rsidRPr="007A1D29" w:rsidRDefault="007A1D29" w:rsidP="007A1D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2576D657" w14:textId="63BEDEDF" w:rsidR="007A1D29" w:rsidRPr="007A1D29" w:rsidRDefault="007A1D29" w:rsidP="007A1D2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Arial" w:eastAsia="Times New Roman" w:hAnsi="Arial" w:cs="Arial"/>
          <w:b/>
          <w:bCs/>
          <w:i/>
          <w:iCs/>
          <w:color w:val="404040"/>
          <w:sz w:val="24"/>
          <w:szCs w:val="24"/>
          <w:lang w:eastAsia="es-MX"/>
        </w:rPr>
        <w:t>Fracción II (a 1)</w:t>
      </w: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.-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Gacetas Municipales  </w:t>
      </w:r>
      <w:r w:rsidRPr="007A1D29">
        <w:rPr>
          <w:rFonts w:ascii="Arial" w:eastAsia="Times New Roman" w:hAnsi="Arial" w:cs="Arial"/>
          <w:noProof/>
          <w:color w:val="0000CC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59E2FBD2" wp14:editId="7F510F24">
            <wp:extent cx="400050" cy="400050"/>
            <wp:effectExtent l="0" t="0" r="0" b="0"/>
            <wp:docPr id="4" name="Imagen 4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98545" w14:textId="30307961" w:rsidR="007A1D29" w:rsidRPr="007A1D29" w:rsidRDefault="007A1D29" w:rsidP="007A1D2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Arial" w:eastAsia="Times New Roman" w:hAnsi="Arial" w:cs="Arial"/>
          <w:b/>
          <w:bCs/>
          <w:i/>
          <w:iCs/>
          <w:color w:val="404040"/>
          <w:sz w:val="24"/>
          <w:szCs w:val="24"/>
          <w:lang w:eastAsia="es-MX"/>
        </w:rPr>
        <w:t>Fracción II (a)</w:t>
      </w: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.-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Hipervínculo a las gacetas Municipales  </w:t>
      </w:r>
      <w:r w:rsidRPr="007A1D29">
        <w:rPr>
          <w:rFonts w:ascii="Arial" w:eastAsia="Times New Roman" w:hAnsi="Arial" w:cs="Arial"/>
          <w:noProof/>
          <w:color w:val="0000CC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73E3A072" wp14:editId="004D4A85">
            <wp:extent cx="400050" cy="400050"/>
            <wp:effectExtent l="0" t="0" r="0" b="0"/>
            <wp:docPr id="3" name="Imagen 3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A94B7" w14:textId="69DFA04C" w:rsidR="007A1D29" w:rsidRPr="007A1D29" w:rsidRDefault="007A1D29" w:rsidP="007A1D2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Arial" w:eastAsia="Times New Roman" w:hAnsi="Arial" w:cs="Arial"/>
          <w:b/>
          <w:bCs/>
          <w:i/>
          <w:iCs/>
          <w:color w:val="404040"/>
          <w:sz w:val="24"/>
          <w:szCs w:val="24"/>
          <w:lang w:eastAsia="es-MX"/>
        </w:rPr>
        <w:t>Fracción II (b 1)</w:t>
      </w: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.-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Calendario de sesiones del cabildo </w:t>
      </w:r>
      <w:r w:rsidRPr="007A1D29">
        <w:rPr>
          <w:rFonts w:ascii="Arial" w:eastAsia="Times New Roman" w:hAnsi="Arial" w:cs="Arial"/>
          <w:noProof/>
          <w:color w:val="0000CC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7E8F2A99" wp14:editId="0C9FCF47">
            <wp:extent cx="400050" cy="400050"/>
            <wp:effectExtent l="0" t="0" r="0" b="0"/>
            <wp:docPr id="2" name="Imagen 2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7F27F" w14:textId="06869EAD" w:rsidR="007A1D29" w:rsidRPr="007A1D29" w:rsidRDefault="007A1D29" w:rsidP="007A1D2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7A1D29">
        <w:rPr>
          <w:rFonts w:ascii="Arial" w:eastAsia="Times New Roman" w:hAnsi="Arial" w:cs="Arial"/>
          <w:b/>
          <w:bCs/>
          <w:i/>
          <w:iCs/>
          <w:color w:val="404040"/>
          <w:sz w:val="24"/>
          <w:szCs w:val="24"/>
          <w:lang w:eastAsia="es-MX"/>
        </w:rPr>
        <w:t>Fracción II (b 2)</w:t>
      </w:r>
      <w:r w:rsidRPr="007A1D29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.-</w:t>
      </w:r>
      <w:r w:rsidRPr="007A1D29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Sesiones de cabildo </w:t>
      </w:r>
      <w:r w:rsidRPr="007A1D29">
        <w:rPr>
          <w:rFonts w:ascii="Arial" w:eastAsia="Times New Roman" w:hAnsi="Arial" w:cs="Arial"/>
          <w:noProof/>
          <w:color w:val="0000CC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55623315" wp14:editId="54B0324D">
            <wp:extent cx="400050" cy="400050"/>
            <wp:effectExtent l="0" t="0" r="0" b="0"/>
            <wp:docPr id="1" name="Imagen 1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57A41" w14:textId="77777777" w:rsidR="00186917" w:rsidRPr="007A1D29" w:rsidRDefault="00186917" w:rsidP="007A1D29"/>
    <w:sectPr w:rsidR="00186917" w:rsidRPr="007A1D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29"/>
    <w:rsid w:val="00186917"/>
    <w:rsid w:val="007A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1E46B5"/>
  <w15:chartTrackingRefBased/>
  <w15:docId w15:val="{D4F27446-2214-4243-8338-556BBE6B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1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A1D29"/>
    <w:rPr>
      <w:b/>
      <w:bCs/>
    </w:rPr>
  </w:style>
  <w:style w:type="character" w:styleId="nfasis">
    <w:name w:val="Emphasis"/>
    <w:basedOn w:val="Fuentedeprrafopredeter"/>
    <w:uiPriority w:val="20"/>
    <w:qFormat/>
    <w:rsid w:val="007A1D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angancicuaro.gob.mx/hipervinculo-a-las-cancelas" TargetMode="External"/><Relationship Id="rId18" Type="http://schemas.openxmlformats.org/officeDocument/2006/relationships/hyperlink" Target="https://tangancicuaro.gob.mx/licencias-de-uso-de-suelo" TargetMode="External"/><Relationship Id="rId26" Type="http://schemas.openxmlformats.org/officeDocument/2006/relationships/hyperlink" Target="https://tangancicuaro.gob.mx/la-glosa-del-informe-que-presenta-al-congres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angancicuaro.gob.mx/planes-y-programas-de-ordenamiento-territoria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tangancicuaro.gob.mx/el-presupuesto-de-egresos-art-36" TargetMode="External"/><Relationship Id="rId12" Type="http://schemas.openxmlformats.org/officeDocument/2006/relationships/hyperlink" Target="https://tangancicuaro.gob.mx/cancelacion-o-condonado-algun-credito-fiscal" TargetMode="External"/><Relationship Id="rId17" Type="http://schemas.openxmlformats.org/officeDocument/2006/relationships/hyperlink" Target="https://tangancicuaro.gob.mx/tipo-de-suelo" TargetMode="External"/><Relationship Id="rId25" Type="http://schemas.openxmlformats.org/officeDocument/2006/relationships/hyperlink" Target="https://tangancicuaro.gob.mx/el-origen-y-aplicacion-de-los-recursos" TargetMode="External"/><Relationship Id="rId33" Type="http://schemas.openxmlformats.org/officeDocument/2006/relationships/hyperlink" Target="https://tangancicuaro.gob.mx/sesiones-de-cabild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angancicuaro.gob.mx/hipervinculo-a-la-informacion-de-los-corredores" TargetMode="External"/><Relationship Id="rId20" Type="http://schemas.openxmlformats.org/officeDocument/2006/relationships/hyperlink" Target="https://tangancicuaro.gob.mx/planes-de-desarrollo-urbano" TargetMode="External"/><Relationship Id="rId29" Type="http://schemas.openxmlformats.org/officeDocument/2006/relationships/hyperlink" Target="https://tangancicuaro.gob.mx/los-montos-de-endeudamiento" TargetMode="External"/><Relationship Id="rId1" Type="http://schemas.openxmlformats.org/officeDocument/2006/relationships/styles" Target="styles.xml"/><Relationship Id="rId6" Type="http://schemas.openxmlformats.org/officeDocument/2006/relationships/hyperlink" Target="https://tangancicuaro.gob.mx/hipervinculo-al-plan-nacional" TargetMode="External"/><Relationship Id="rId11" Type="http://schemas.openxmlformats.org/officeDocument/2006/relationships/hyperlink" Target="https://tangancicuaro.gob.mx/estadisticas-sobre-exenciones" TargetMode="External"/><Relationship Id="rId24" Type="http://schemas.openxmlformats.org/officeDocument/2006/relationships/hyperlink" Target="https://tangancicuaro.gob.mx/disposiciones-administrativas" TargetMode="External"/><Relationship Id="rId32" Type="http://schemas.openxmlformats.org/officeDocument/2006/relationships/hyperlink" Target="https://tangancicuaro.gob.mx/calendario-de-sesione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tangancicuaro.gob.mx/sanciones-a-corredores" TargetMode="External"/><Relationship Id="rId23" Type="http://schemas.openxmlformats.org/officeDocument/2006/relationships/hyperlink" Target="https://tangancicuaro.gob.mx/hipervinculo-a-los-planes-de-desarrollo-urbano" TargetMode="External"/><Relationship Id="rId28" Type="http://schemas.openxmlformats.org/officeDocument/2006/relationships/hyperlink" Target="https://tangancicuaro.gob.mx/el-presupuesto-de-egresos-y-las-formulas-de-distribucion-de-los-recursos" TargetMode="External"/><Relationship Id="rId10" Type="http://schemas.openxmlformats.org/officeDocument/2006/relationships/hyperlink" Target="https://tangancicuaro.gob.mx/hipervinculo-al-listado-de-expropiaciones" TargetMode="External"/><Relationship Id="rId19" Type="http://schemas.openxmlformats.org/officeDocument/2006/relationships/hyperlink" Target="https://tangancicuaro.gob.mx/licencias-de-construccion" TargetMode="External"/><Relationship Id="rId31" Type="http://schemas.openxmlformats.org/officeDocument/2006/relationships/hyperlink" Target="https://tangancicuaro.gob.mx/hipervinculo-a-las-gacetas" TargetMode="External"/><Relationship Id="rId4" Type="http://schemas.openxmlformats.org/officeDocument/2006/relationships/hyperlink" Target="https://tangancicuaro.gob.mx/plan-de-desarrollo" TargetMode="External"/><Relationship Id="rId9" Type="http://schemas.openxmlformats.org/officeDocument/2006/relationships/hyperlink" Target="https://tangancicuaro.gob.mx/expropiaciones-realizadas" TargetMode="External"/><Relationship Id="rId14" Type="http://schemas.openxmlformats.org/officeDocument/2006/relationships/hyperlink" Target="https://tangancicuaro.gob.mx/corredores-y-notarios" TargetMode="External"/><Relationship Id="rId22" Type="http://schemas.openxmlformats.org/officeDocument/2006/relationships/hyperlink" Target="https://tangancicuaro.gob.mx/planes-y-programas-de-ordenamiento-ecologico" TargetMode="External"/><Relationship Id="rId27" Type="http://schemas.openxmlformats.org/officeDocument/2006/relationships/hyperlink" Target="https://tangancicuaro.gob.mx/las-transferencias-presupuestales" TargetMode="External"/><Relationship Id="rId30" Type="http://schemas.openxmlformats.org/officeDocument/2006/relationships/hyperlink" Target="https://tangancicuaro.gob.mx/gacetas-municipales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tangancicuaro.gob.mx/egresos-y-formulas-de-distribucion-de-los-recursos-otorgad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</cp:lastModifiedBy>
  <cp:revision>1</cp:revision>
  <dcterms:created xsi:type="dcterms:W3CDTF">2021-10-06T14:23:00Z</dcterms:created>
  <dcterms:modified xsi:type="dcterms:W3CDTF">2021-10-06T14:24:00Z</dcterms:modified>
</cp:coreProperties>
</file>